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Промышленная зона Пионерная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роезд 5П,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3А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10.10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>» в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касающиеся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Стройпромсервис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документов по требованию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Style w:val="cat-UserDefinedgrp-5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Паршкин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судом о времени и месте рассмотрения дела надлежащим образом, не явился,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sz w:val="26"/>
          <w:szCs w:val="26"/>
        </w:rPr>
        <w:t>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sz w:val="26"/>
          <w:szCs w:val="26"/>
        </w:rPr>
        <w:t>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вне рамок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налоговых проверок </w:t>
      </w:r>
      <w:r>
        <w:rPr>
          <w:rFonts w:ascii="Times New Roman" w:eastAsia="Times New Roman" w:hAnsi="Times New Roman" w:cs="Times New Roman"/>
          <w:sz w:val="26"/>
          <w:szCs w:val="26"/>
        </w:rPr>
        <w:t>касающиеся деятельности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Стройпромсервис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времени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Style w:val="cat-UserDefinedgrp-5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4 ст. 31 НК РФ, документы, используемые налоговымиорганами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пункту 2 статьи 93.1 НК РФ,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уведомлени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лежит уплате на счет: 03100643000000018700, Получатель платежа: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 административного обеспечения Ханты-Мансийского автономного округа - Югры, л/с 04872D08080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>041236540039500</w:t>
      </w:r>
      <w:r>
        <w:rPr>
          <w:rFonts w:ascii="Times New Roman" w:eastAsia="Times New Roman" w:hAnsi="Times New Roman" w:cs="Times New Roman"/>
          <w:sz w:val="26"/>
          <w:szCs w:val="26"/>
        </w:rPr>
        <w:t>6952415130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4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426"/>
        <w:rPr>
          <w:sz w:val="26"/>
          <w:szCs w:val="26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0rplc-33">
    <w:name w:val="cat-UserDefined grp-50 rplc-33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UserDefinedgrp-52rplc-58">
    <w:name w:val="cat-UserDefined grp-52 rplc-58"/>
    <w:basedOn w:val="DefaultParagraphFont"/>
  </w:style>
  <w:style w:type="character" w:customStyle="1" w:styleId="cat-UserDefinedgrp-53rplc-61">
    <w:name w:val="cat-UserDefined grp-5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